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4C" w:rsidRPr="00AC1D05" w:rsidRDefault="004A214C" w:rsidP="004A214C">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Matériaux et objets techniques</w:t>
      </w:r>
    </w:p>
    <w:p w:rsidR="004A214C" w:rsidRPr="00AC1D05" w:rsidRDefault="004A214C" w:rsidP="004A214C">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 </w:t>
      </w:r>
    </w:p>
    <w:tbl>
      <w:tblPr>
        <w:tblW w:w="15309"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tblPr>
      <w:tblGrid>
        <w:gridCol w:w="9792"/>
        <w:gridCol w:w="5517"/>
      </w:tblGrid>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Attendus de fin de cycle</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les principales évolutions du besoin et des objets.</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Décrire le fonctionnement d'objets techniques, leurs fonctions et leurs constitutions.</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les principales familles de matériaux.</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Concevoir et produire tout ou partie d'un objet technique en équipe pour traduire une solution technologique répondant à un besoin.</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Repérer et comprendre la communication et la gestion de l'information.</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Connaissances et compétences associées</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Exemples de situations, d'activités et de ressources pour l'élève</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Identifier les principales évolutions du besoin et des objets.</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Repérer les évolutions d'un objet dans différents contextes (historique, économique, culturel).</w:t>
            </w:r>
          </w:p>
          <w:p w:rsidR="004A214C" w:rsidRPr="00AC1D05" w:rsidRDefault="004A214C" w:rsidP="004A214C">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l'évolution technologique (innovation, invention, principe technique).</w:t>
            </w:r>
          </w:p>
          <w:p w:rsidR="004A214C" w:rsidRPr="00AC1D05" w:rsidRDefault="004A214C" w:rsidP="004A214C">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L'évolution des besoins.</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À partir d'un objet donné, les élèves situent ses principales évolutions dans le temps en termes de principe de fonctionnement, de forme, de matériaux, d'énergie, d'impact environnemental, de coût, d'esthétique.</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Décrire le fonctionnement d'objets techniques, leurs fonctions et leurs constitutions</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4A214C">
            <w:pPr>
              <w:numPr>
                <w:ilvl w:val="0"/>
                <w:numId w:val="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Besoin, fonction d'usage et d'estime.</w:t>
            </w:r>
          </w:p>
          <w:p w:rsidR="004A214C" w:rsidRPr="00AC1D05" w:rsidRDefault="004A214C" w:rsidP="004A214C">
            <w:pPr>
              <w:numPr>
                <w:ilvl w:val="0"/>
                <w:numId w:val="4"/>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Fonction technique, solutions techniques.</w:t>
            </w:r>
          </w:p>
          <w:p w:rsidR="004A214C" w:rsidRPr="00AC1D05" w:rsidRDefault="004A214C" w:rsidP="004A214C">
            <w:pPr>
              <w:numPr>
                <w:ilvl w:val="0"/>
                <w:numId w:val="5"/>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Représentation du fonctionnement d'un objet technique.</w:t>
            </w:r>
          </w:p>
          <w:p w:rsidR="004A214C" w:rsidRPr="00AC1D05" w:rsidRDefault="004A214C" w:rsidP="004A214C">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Comparaison de solutions techniques : constitutions, fonctions, organes.</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lastRenderedPageBreak/>
              <w:t xml:space="preserve">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w:t>
            </w:r>
            <w:r w:rsidRPr="00AC1D05">
              <w:rPr>
                <w:rFonts w:ascii="Times New Roman" w:eastAsia="Times New Roman" w:hAnsi="Times New Roman" w:cs="Times New Roman"/>
                <w:sz w:val="30"/>
                <w:szCs w:val="30"/>
                <w:lang w:eastAsia="fr-FR"/>
              </w:rPr>
              <w:lastRenderedPageBreak/>
              <w:t>sont inventoriés par les élèves. Les différentes parties sont isolées par observation en fonctionnement. Leur rôle respectif est mis en évidence.</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Identifier les principales familles de matériaux</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4A214C">
            <w:pPr>
              <w:numPr>
                <w:ilvl w:val="0"/>
                <w:numId w:val="7"/>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Familles de matériaux (distinction des matériaux selon les relations entre formes, fonctions et procédés).</w:t>
            </w:r>
          </w:p>
          <w:p w:rsidR="004A214C" w:rsidRPr="00AC1D05" w:rsidRDefault="004A214C" w:rsidP="004A214C">
            <w:pPr>
              <w:numPr>
                <w:ilvl w:val="0"/>
                <w:numId w:val="8"/>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Caractéristiques et propriétés (aptitude au façonnage, valorisation).</w:t>
            </w:r>
          </w:p>
          <w:p w:rsidR="004A214C" w:rsidRPr="00AC1D05" w:rsidRDefault="004A214C" w:rsidP="004A214C">
            <w:pPr>
              <w:numPr>
                <w:ilvl w:val="0"/>
                <w:numId w:val="9"/>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Impact environnemental.</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Concevoir et produire tout ou partie d'un objet technique en équipe pour traduire une solution technologique répondant à un besoin.</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4A214C">
            <w:pPr>
              <w:numPr>
                <w:ilvl w:val="0"/>
                <w:numId w:val="10"/>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Notion de contrainte.</w:t>
            </w:r>
          </w:p>
          <w:p w:rsidR="004A214C" w:rsidRPr="00AC1D05" w:rsidRDefault="004A214C" w:rsidP="004A214C">
            <w:pPr>
              <w:numPr>
                <w:ilvl w:val="0"/>
                <w:numId w:val="1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Recherche d'idées (schémas, croquis ...).</w:t>
            </w:r>
          </w:p>
          <w:p w:rsidR="004A214C" w:rsidRPr="00AC1D05" w:rsidRDefault="004A214C" w:rsidP="004A214C">
            <w:pPr>
              <w:numPr>
                <w:ilvl w:val="0"/>
                <w:numId w:val="1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Modélisation du réel (maquette, modèles géométrique et numérique), représentation en conception assistée par ordinateur.</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En groupe, les élèves sont amenés à résoudre un problème technique, imaginer et réaliser des solutions techniques en effectuant des choix de matériaux et des moyens de réalisation.</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4A214C">
            <w:pPr>
              <w:numPr>
                <w:ilvl w:val="0"/>
                <w:numId w:val="1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lastRenderedPageBreak/>
              <w:t>Processus, planning, protocoles, procédés de réalisation (outils, machines).</w:t>
            </w:r>
          </w:p>
          <w:p w:rsidR="004A214C" w:rsidRPr="00AC1D05" w:rsidRDefault="004A214C" w:rsidP="004A214C">
            <w:pPr>
              <w:numPr>
                <w:ilvl w:val="0"/>
                <w:numId w:val="14"/>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Choix de matériaux.</w:t>
            </w:r>
          </w:p>
          <w:p w:rsidR="004A214C" w:rsidRPr="00AC1D05" w:rsidRDefault="004A214C" w:rsidP="004A214C">
            <w:pPr>
              <w:numPr>
                <w:ilvl w:val="0"/>
                <w:numId w:val="15"/>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Maquette, prototype.</w:t>
            </w:r>
          </w:p>
          <w:p w:rsidR="004A214C" w:rsidRPr="00AC1D05" w:rsidRDefault="004A214C" w:rsidP="004A214C">
            <w:pPr>
              <w:numPr>
                <w:ilvl w:val="0"/>
                <w:numId w:val="1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Vérification et contrôles (dimensions, fonctionnement).</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élèves traduisent leur solution par une réalisation matérielle (maquette ou prototype). Ils utilisent des moyens de prototypage, de réalisation, de modélisation. Cette solution peut être modélisée virtuellement à travers des applications programmables permettant de visualiser un comportement. Ils collectent l'information, la mettent en commun, réalisent une production unique.</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4A214C" w:rsidP="005409AD">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Repérer et comprendre la communication et la gestion de l'information</w:t>
            </w:r>
          </w:p>
        </w:tc>
      </w:tr>
      <w:tr w:rsidR="004A214C" w:rsidRPr="00AC1D05" w:rsidTr="004A214C">
        <w:tc>
          <w:tcPr>
            <w:tcW w:w="639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4A214C">
            <w:pPr>
              <w:numPr>
                <w:ilvl w:val="0"/>
                <w:numId w:val="17"/>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Environnement numérique de travail.</w:t>
            </w:r>
          </w:p>
          <w:p w:rsidR="004A214C" w:rsidRPr="00AC1D05" w:rsidRDefault="004A214C" w:rsidP="004A214C">
            <w:pPr>
              <w:numPr>
                <w:ilvl w:val="0"/>
                <w:numId w:val="18"/>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 stockage des données, notions d'algorithmes, les objets programmables.</w:t>
            </w:r>
          </w:p>
          <w:p w:rsidR="004A214C" w:rsidRPr="00AC1D05" w:rsidRDefault="004A214C" w:rsidP="004A214C">
            <w:pPr>
              <w:numPr>
                <w:ilvl w:val="0"/>
                <w:numId w:val="19"/>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Usage des moyens numériques dans un réseau.</w:t>
            </w:r>
          </w:p>
          <w:p w:rsidR="004A214C" w:rsidRPr="00AC1D05" w:rsidRDefault="004A214C" w:rsidP="004A214C">
            <w:pPr>
              <w:numPr>
                <w:ilvl w:val="0"/>
                <w:numId w:val="20"/>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Usage de logiciels usuels.</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c>
          <w:tcPr>
            <w:tcW w:w="360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élèves apprennent à connaitre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Les élèves maitrisent le fonctionnement de logiciels usuels et s'approprient leur fonctionnement.</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4A214C" w:rsidRPr="00AC1D05" w:rsidTr="004A214C">
        <w:tc>
          <w:tcPr>
            <w:tcW w:w="9990"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Repères de progressivité</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Tout au long du cycle, l'appropriation des objets techniques abordés est toujours mise en relation avec les besoins de l'être humain dans son environnement.</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xml:space="preserve">En CM1 et CM2, les matériaux utilisés sont comparés selon leurs caractéristiques dont leurs propriétés de recyclage en fin de </w:t>
            </w:r>
            <w:r w:rsidRPr="00AC1D05">
              <w:rPr>
                <w:rFonts w:ascii="Times New Roman" w:eastAsia="Times New Roman" w:hAnsi="Times New Roman" w:cs="Times New Roman"/>
                <w:sz w:val="30"/>
                <w:szCs w:val="30"/>
                <w:lang w:eastAsia="fr-FR"/>
              </w:rPr>
              <w:lastRenderedPageBreak/>
              <w:t xml:space="preserve">vie. L'objet technique est à aborder en termes de description, de fonctions, de constitution afin de répondre aux questions : À quoi cela sert ? De quoi s'est constitué ? Comment cela fonctionne ? Dans ces classes, l'investigation, l'expérimentation, l'observation du fonctionnement, la recherche de résolution de problème </w:t>
            </w:r>
            <w:proofErr w:type="gramStart"/>
            <w:r w:rsidRPr="00AC1D05">
              <w:rPr>
                <w:rFonts w:ascii="Times New Roman" w:eastAsia="Times New Roman" w:hAnsi="Times New Roman" w:cs="Times New Roman"/>
                <w:sz w:val="30"/>
                <w:szCs w:val="30"/>
                <w:lang w:eastAsia="fr-FR"/>
              </w:rPr>
              <w:t>sont</w:t>
            </w:r>
            <w:proofErr w:type="gramEnd"/>
            <w:r w:rsidRPr="00AC1D05">
              <w:rPr>
                <w:rFonts w:ascii="Times New Roman" w:eastAsia="Times New Roman" w:hAnsi="Times New Roman" w:cs="Times New Roman"/>
                <w:sz w:val="30"/>
                <w:szCs w:val="30"/>
                <w:lang w:eastAsia="fr-FR"/>
              </w:rPr>
              <w:t xml:space="preserve"> à pratiquer afin de solliciter l'analyse, la recherche, et la créativité des élèves pour répondre à un problème posé. Leur solution doit aboutir la plupart du temps à une réalisation concrète favorisant la manipulation sur des matériels et l'activité pratique. L'usage des outils numériques est recommandé pour favoriser la communication et la représentation des objets techniques.</w:t>
            </w:r>
          </w:p>
          <w:p w:rsidR="004A214C"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AC1D05" w:rsidRPr="00AC1D05" w:rsidRDefault="004A214C" w:rsidP="005409AD">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2043B9" w:rsidRDefault="002043B9"/>
    <w:sectPr w:rsidR="002043B9" w:rsidSect="004A214C">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B42"/>
    <w:multiLevelType w:val="multilevel"/>
    <w:tmpl w:val="9CA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56622"/>
    <w:multiLevelType w:val="multilevel"/>
    <w:tmpl w:val="FDE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63A1F"/>
    <w:multiLevelType w:val="multilevel"/>
    <w:tmpl w:val="F1A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D2A77"/>
    <w:multiLevelType w:val="multilevel"/>
    <w:tmpl w:val="A908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A7163"/>
    <w:multiLevelType w:val="multilevel"/>
    <w:tmpl w:val="8C2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B2518"/>
    <w:multiLevelType w:val="multilevel"/>
    <w:tmpl w:val="94D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E55F7"/>
    <w:multiLevelType w:val="multilevel"/>
    <w:tmpl w:val="44F4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26ED6"/>
    <w:multiLevelType w:val="multilevel"/>
    <w:tmpl w:val="D24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E4FA2"/>
    <w:multiLevelType w:val="multilevel"/>
    <w:tmpl w:val="5EE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800E6"/>
    <w:multiLevelType w:val="multilevel"/>
    <w:tmpl w:val="6B5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043D5"/>
    <w:multiLevelType w:val="multilevel"/>
    <w:tmpl w:val="136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978D5"/>
    <w:multiLevelType w:val="multilevel"/>
    <w:tmpl w:val="B55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F4142"/>
    <w:multiLevelType w:val="multilevel"/>
    <w:tmpl w:val="A04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11A2E"/>
    <w:multiLevelType w:val="multilevel"/>
    <w:tmpl w:val="0176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65631"/>
    <w:multiLevelType w:val="multilevel"/>
    <w:tmpl w:val="B6FC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708"/>
    <w:multiLevelType w:val="multilevel"/>
    <w:tmpl w:val="6E3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23AB9"/>
    <w:multiLevelType w:val="multilevel"/>
    <w:tmpl w:val="F1E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03A6A"/>
    <w:multiLevelType w:val="multilevel"/>
    <w:tmpl w:val="51A6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81C40"/>
    <w:multiLevelType w:val="multilevel"/>
    <w:tmpl w:val="CE60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34D4C"/>
    <w:multiLevelType w:val="multilevel"/>
    <w:tmpl w:val="201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8"/>
  </w:num>
  <w:num w:numId="4">
    <w:abstractNumId w:val="0"/>
  </w:num>
  <w:num w:numId="5">
    <w:abstractNumId w:val="9"/>
  </w:num>
  <w:num w:numId="6">
    <w:abstractNumId w:val="14"/>
  </w:num>
  <w:num w:numId="7">
    <w:abstractNumId w:val="2"/>
  </w:num>
  <w:num w:numId="8">
    <w:abstractNumId w:val="19"/>
  </w:num>
  <w:num w:numId="9">
    <w:abstractNumId w:val="5"/>
  </w:num>
  <w:num w:numId="10">
    <w:abstractNumId w:val="8"/>
  </w:num>
  <w:num w:numId="11">
    <w:abstractNumId w:val="3"/>
  </w:num>
  <w:num w:numId="12">
    <w:abstractNumId w:val="4"/>
  </w:num>
  <w:num w:numId="13">
    <w:abstractNumId w:val="13"/>
  </w:num>
  <w:num w:numId="14">
    <w:abstractNumId w:val="15"/>
  </w:num>
  <w:num w:numId="15">
    <w:abstractNumId w:val="11"/>
  </w:num>
  <w:num w:numId="16">
    <w:abstractNumId w:val="1"/>
  </w:num>
  <w:num w:numId="17">
    <w:abstractNumId w:val="12"/>
  </w:num>
  <w:num w:numId="18">
    <w:abstractNumId w:val="17"/>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4A214C"/>
    <w:rsid w:val="002043B9"/>
    <w:rsid w:val="004A214C"/>
    <w:rsid w:val="004D6E52"/>
    <w:rsid w:val="00694B18"/>
    <w:rsid w:val="00F65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5280</Characters>
  <Application>Microsoft Office Word</Application>
  <DocSecurity>0</DocSecurity>
  <Lines>44</Lines>
  <Paragraphs>12</Paragraphs>
  <ScaleCrop>false</ScaleCrop>
  <Company>Hewlett-Packard</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2016-01-24T11:35:00Z</dcterms:created>
  <dcterms:modified xsi:type="dcterms:W3CDTF">2016-01-24T11:35:00Z</dcterms:modified>
</cp:coreProperties>
</file>